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DFCC"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14:paraId="19FC93E4"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14:paraId="09C25232" w14:textId="77777777" w:rsidR="002814FB" w:rsidRPr="00FE5949" w:rsidRDefault="002814FB" w:rsidP="00FE5949">
      <w:pPr>
        <w:pStyle w:val="Title"/>
        <w:jc w:val="center"/>
        <w:rPr>
          <w:rFonts w:ascii="Arial" w:hAnsi="Arial" w:cs="Arial"/>
          <w:sz w:val="40"/>
          <w:szCs w:val="40"/>
        </w:rPr>
      </w:pPr>
    </w:p>
    <w:p w14:paraId="7ED7FCC3"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14:paraId="3F08B24F" w14:textId="77777777" w:rsidR="002814FB" w:rsidRPr="00FE5949" w:rsidRDefault="002814FB" w:rsidP="00FE5949">
      <w:pPr>
        <w:pStyle w:val="Subtitle"/>
        <w:jc w:val="center"/>
        <w:rPr>
          <w:color w:val="000000" w:themeColor="text1"/>
          <w:sz w:val="28"/>
          <w:szCs w:val="28"/>
        </w:rPr>
      </w:pPr>
    </w:p>
    <w:p w14:paraId="4BAD6913" w14:textId="5C05CF58"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w:t>
      </w:r>
      <w:r w:rsidR="000C2EE2">
        <w:rPr>
          <w:rFonts w:ascii="Arial" w:hAnsi="Arial" w:cs="Arial"/>
          <w:color w:val="000000" w:themeColor="text1"/>
          <w:sz w:val="28"/>
          <w:szCs w:val="28"/>
        </w:rPr>
        <w:t>Rebecca Ortiz</w:t>
      </w:r>
      <w:r w:rsidR="00FE5949" w:rsidRPr="00FE5949">
        <w:rPr>
          <w:rFonts w:ascii="Arial" w:hAnsi="Arial" w:cs="Arial"/>
          <w:color w:val="000000" w:themeColor="text1"/>
          <w:sz w:val="28"/>
          <w:szCs w:val="28"/>
        </w:rPr>
        <w:t xml:space="preserve"> at 775-684-8619 or</w:t>
      </w:r>
      <w:r w:rsidR="000C2EE2">
        <w:rPr>
          <w:rFonts w:ascii="Arial" w:hAnsi="Arial" w:cs="Arial"/>
          <w:color w:val="000000" w:themeColor="text1"/>
          <w:sz w:val="28"/>
          <w:szCs w:val="28"/>
        </w:rPr>
        <w:t xml:space="preserve"> </w:t>
      </w:r>
      <w:hyperlink r:id="rId8" w:history="1">
        <w:r w:rsidR="000C2EE2" w:rsidRPr="006E5386">
          <w:rPr>
            <w:rStyle w:val="Hyperlink"/>
            <w:rFonts w:ascii="Arial" w:hAnsi="Arial" w:cs="Arial"/>
            <w:sz w:val="28"/>
            <w:szCs w:val="28"/>
          </w:rPr>
          <w:t>Rortiz@dhhs.nv.gov</w:t>
        </w:r>
      </w:hyperlink>
      <w:r w:rsidR="000C2EE2">
        <w:rPr>
          <w:rFonts w:ascii="Arial" w:hAnsi="Arial" w:cs="Arial"/>
          <w:color w:val="000000" w:themeColor="text1"/>
          <w:sz w:val="28"/>
          <w:szCs w:val="28"/>
        </w:rPr>
        <w:t xml:space="preserve">. </w:t>
      </w:r>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14:paraId="56A4D8B7" w14:textId="77777777"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14:paraId="0D1AC404" w14:textId="3FDFBD57"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A24FFA">
              <w:rPr>
                <w:rFonts w:ascii="Arial" w:hAnsi="Arial" w:cs="Arial"/>
                <w:noProof/>
                <w:webHidden/>
                <w:sz w:val="28"/>
                <w:szCs w:val="28"/>
              </w:rPr>
              <w:t>2</w:t>
            </w:r>
            <w:r w:rsidRPr="00D85F0E">
              <w:rPr>
                <w:rFonts w:ascii="Arial" w:hAnsi="Arial" w:cs="Arial"/>
                <w:noProof/>
                <w:webHidden/>
                <w:sz w:val="28"/>
                <w:szCs w:val="28"/>
              </w:rPr>
              <w:fldChar w:fldCharType="end"/>
            </w:r>
          </w:hyperlink>
        </w:p>
        <w:p w14:paraId="56DE97A2" w14:textId="6B622691" w:rsidR="00D85F0E" w:rsidRPr="00D85F0E" w:rsidRDefault="004D50D9">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346BF4F3" w14:textId="3B4456FD" w:rsidR="00D85F0E" w:rsidRPr="00D85F0E" w:rsidRDefault="004D50D9">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2CA0D29D" w14:textId="2D8C3F16" w:rsidR="00D85F0E" w:rsidRPr="00D85F0E" w:rsidRDefault="004D50D9">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30BC9DB0" w14:textId="1FECF5CF" w:rsidR="00D85F0E" w:rsidRPr="00D85F0E" w:rsidRDefault="004D50D9">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4EFA3BCF" w14:textId="47149330" w:rsidR="00D85F0E" w:rsidRPr="00D85F0E" w:rsidRDefault="004D50D9">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70D549FD" w14:textId="187356AC" w:rsidR="00D85F0E" w:rsidRPr="00D85F0E" w:rsidRDefault="004D50D9">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41846E4A" w14:textId="3521FC84" w:rsidR="00D85F0E" w:rsidRPr="00D85F0E" w:rsidRDefault="004D50D9">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1087DEA2" w14:textId="21A94AC8" w:rsidR="00D85F0E" w:rsidRPr="00D85F0E" w:rsidRDefault="004D50D9">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4774A6D9" w14:textId="707EEAD0" w:rsidR="00D85F0E" w:rsidRPr="00D85F0E" w:rsidRDefault="004D50D9">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A24FFA">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61319CEF" w14:textId="77777777" w:rsidR="00D85F0E" w:rsidRPr="00D85F0E" w:rsidRDefault="00D85F0E" w:rsidP="002814FB">
          <w:r w:rsidRPr="00D85F0E">
            <w:rPr>
              <w:rFonts w:ascii="Arial" w:hAnsi="Arial" w:cs="Arial"/>
              <w:b/>
              <w:bCs/>
              <w:noProof/>
              <w:sz w:val="28"/>
              <w:szCs w:val="28"/>
            </w:rPr>
            <w:fldChar w:fldCharType="end"/>
          </w:r>
        </w:p>
      </w:sdtContent>
    </w:sdt>
    <w:p w14:paraId="475E6F51" w14:textId="77777777" w:rsidR="00D85F0E" w:rsidRDefault="00D85F0E">
      <w:pPr>
        <w:spacing w:after="160" w:line="259" w:lineRule="auto"/>
        <w:rPr>
          <w:rFonts w:ascii="Arial" w:eastAsiaTheme="majorEastAsia" w:hAnsi="Arial" w:cstheme="majorBidi"/>
          <w:sz w:val="32"/>
          <w:szCs w:val="32"/>
        </w:rPr>
      </w:pPr>
      <w:bookmarkStart w:id="0" w:name="_Toc525044979"/>
      <w:r>
        <w:br w:type="page"/>
      </w:r>
    </w:p>
    <w:p w14:paraId="0CE13EE3" w14:textId="77777777" w:rsidR="002814FB" w:rsidRPr="008774FB" w:rsidRDefault="002814FB" w:rsidP="00FE5949">
      <w:pPr>
        <w:pStyle w:val="Heading1"/>
      </w:pPr>
      <w:r w:rsidRPr="008774FB">
        <w:lastRenderedPageBreak/>
        <w:t>PURPOSE:</w:t>
      </w:r>
      <w:bookmarkEnd w:id="0"/>
      <w:r w:rsidRPr="008774FB">
        <w:t xml:space="preserve">  </w:t>
      </w:r>
    </w:p>
    <w:p w14:paraId="38363061" w14:textId="77777777"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14:paraId="11EACFA2" w14:textId="77777777" w:rsidR="002814FB" w:rsidRPr="009755DB" w:rsidRDefault="002814FB" w:rsidP="00FE5949">
      <w:pPr>
        <w:pStyle w:val="Heading1"/>
      </w:pPr>
      <w:bookmarkStart w:id="1" w:name="_Toc525044980"/>
      <w:r>
        <w:t>DEFINITIONS</w:t>
      </w:r>
      <w:bookmarkEnd w:id="1"/>
      <w:r w:rsidRPr="009755DB">
        <w:t xml:space="preserve">  </w:t>
      </w:r>
    </w:p>
    <w:p w14:paraId="782C3DE2" w14:textId="77777777"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14:paraId="544F049B"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14:paraId="767091B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14:paraId="5793DAE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14:paraId="5E4272DD"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14:paraId="363D6E0A" w14:textId="77777777"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14:paraId="6DB342BB" w14:textId="77777777" w:rsidR="00AF3915" w:rsidRPr="00AF3915" w:rsidRDefault="00AF3915" w:rsidP="00AF3915">
      <w:pPr>
        <w:pStyle w:val="ListParagraph"/>
        <w:ind w:left="1440"/>
        <w:rPr>
          <w:rFonts w:ascii="Arial" w:hAnsi="Arial" w:cs="Arial"/>
        </w:rPr>
      </w:pPr>
      <w:r w:rsidRPr="00AF3915">
        <w:rPr>
          <w:rFonts w:ascii="Arial" w:hAnsi="Arial" w:cs="Arial"/>
        </w:rPr>
        <w:t>*</w:t>
      </w:r>
      <w:proofErr w:type="gramStart"/>
      <w:r w:rsidRPr="00AF3915">
        <w:rPr>
          <w:rFonts w:ascii="Arial" w:hAnsi="Arial" w:cs="Arial"/>
        </w:rPr>
        <w:t>is</w:t>
      </w:r>
      <w:proofErr w:type="gramEnd"/>
      <w:r w:rsidRPr="00AF3915">
        <w:rPr>
          <w:rFonts w:ascii="Arial" w:hAnsi="Arial" w:cs="Arial"/>
        </w:rPr>
        <w:t xml:space="preserve"> attributable to mental or physical impairments or a combination of mental and physical impairments; *is manifested before age 22 and likely to continue indefinitely</w:t>
      </w:r>
      <w:r>
        <w:rPr>
          <w:rFonts w:ascii="Arial" w:hAnsi="Arial" w:cs="Arial"/>
        </w:rPr>
        <w:t xml:space="preserve">; </w:t>
      </w:r>
    </w:p>
    <w:p w14:paraId="1113FC9E" w14:textId="77777777"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14:paraId="46CEF677"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w:t>
      </w:r>
      <w:proofErr w:type="gramStart"/>
      <w:r w:rsidRPr="002814FB">
        <w:rPr>
          <w:rFonts w:ascii="Arial" w:hAnsi="Arial" w:cs="Arial"/>
        </w:rPr>
        <w:t>summit</w:t>
      </w:r>
      <w:proofErr w:type="gramEnd"/>
      <w:r w:rsidRPr="002814FB">
        <w:rPr>
          <w:rFonts w:ascii="Arial" w:hAnsi="Arial" w:cs="Arial"/>
        </w:rPr>
        <w:t xml:space="preserve"> or other event at which attendees gain information, knowledge, resources and networking opportunities, and which exceed general socialization.  </w:t>
      </w:r>
    </w:p>
    <w:p w14:paraId="0CD20E7F"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14:paraId="7182DAC0" w14:textId="77777777"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14:paraId="440EF5EE" w14:textId="77777777" w:rsidR="002814FB" w:rsidRPr="009755DB" w:rsidRDefault="002814FB" w:rsidP="00FE5949">
      <w:pPr>
        <w:pStyle w:val="Heading1"/>
      </w:pPr>
      <w:bookmarkStart w:id="2" w:name="_Toc525044981"/>
      <w:r w:rsidRPr="009755DB">
        <w:t>ELIGIBILITY</w:t>
      </w:r>
      <w:bookmarkEnd w:id="2"/>
      <w:r w:rsidRPr="009755DB">
        <w:t xml:space="preserve"> </w:t>
      </w:r>
    </w:p>
    <w:p w14:paraId="0CFD80CF" w14:textId="77777777"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14:paraId="74433467" w14:textId="77777777"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14:paraId="513E3DE4" w14:textId="77777777"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14:paraId="5BD93203" w14:textId="77777777"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14:paraId="3660834B" w14:textId="77777777" w:rsidR="00D85F0E" w:rsidRPr="00D85F0E" w:rsidRDefault="00D85F0E" w:rsidP="00D85F0E">
      <w:pPr>
        <w:pStyle w:val="ListParagraph"/>
        <w:spacing w:after="0"/>
        <w:ind w:left="1440"/>
        <w:rPr>
          <w:rFonts w:ascii="Arial" w:hAnsi="Arial" w:cs="Arial"/>
        </w:rPr>
      </w:pPr>
    </w:p>
    <w:p w14:paraId="2F99A4CC" w14:textId="77777777"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14:paraId="3453E3B4"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14:paraId="11532FB5"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14:paraId="3F59F8E3" w14:textId="77777777"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14:paraId="79ADF6E6" w14:textId="77777777"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14:paraId="21E5DEFA" w14:textId="77777777"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14:paraId="0AA7D565"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14:paraId="63B23C7C"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14:paraId="47C7551C" w14:textId="77777777"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14:paraId="4518FADF" w14:textId="77777777"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14:paraId="6A5D25D6" w14:textId="77777777"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14:paraId="12816101"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14:paraId="08732A2D"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14:paraId="4525A66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14:paraId="506DEE7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14:paraId="24627A1D" w14:textId="1F3E660F" w:rsidR="002814FB" w:rsidRPr="00D85F0E" w:rsidRDefault="002814FB" w:rsidP="002814FB">
      <w:pPr>
        <w:pStyle w:val="ListParagraph"/>
        <w:ind w:left="1080"/>
        <w:rPr>
          <w:rFonts w:ascii="Arial" w:hAnsi="Arial" w:cs="Arial"/>
        </w:rPr>
      </w:pPr>
      <w:r w:rsidRPr="00D85F0E">
        <w:rPr>
          <w:rFonts w:ascii="Arial" w:hAnsi="Arial" w:cs="Arial"/>
        </w:rPr>
        <w:t xml:space="preserve">*Meals, </w:t>
      </w:r>
      <w:proofErr w:type="gramStart"/>
      <w:r w:rsidRPr="00D85F0E">
        <w:rPr>
          <w:rFonts w:ascii="Arial" w:hAnsi="Arial" w:cs="Arial"/>
        </w:rPr>
        <w:t>hotel</w:t>
      </w:r>
      <w:proofErr w:type="gramEnd"/>
      <w:r w:rsidRPr="00D85F0E">
        <w:rPr>
          <w:rFonts w:ascii="Arial" w:hAnsi="Arial" w:cs="Arial"/>
        </w:rPr>
        <w:t xml:space="preserve"> and mileage will be paid according </w:t>
      </w:r>
      <w:r w:rsidR="0040034C">
        <w:rPr>
          <w:rFonts w:ascii="Arial" w:hAnsi="Arial" w:cs="Arial"/>
        </w:rPr>
        <w:t xml:space="preserve">to </w:t>
      </w:r>
      <w:r w:rsidRPr="00D85F0E">
        <w:rPr>
          <w:rFonts w:ascii="Arial" w:hAnsi="Arial" w:cs="Arial"/>
        </w:rPr>
        <w:t xml:space="preserve">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in order to not incur unexpected out-of-pocket expenses.</w:t>
      </w:r>
    </w:p>
    <w:p w14:paraId="70F3826C"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14:paraId="48DF6BE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14:paraId="3E3B9B18"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14:paraId="0FB9AC35" w14:textId="41142084" w:rsidR="002814FB" w:rsidRDefault="002814FB" w:rsidP="00FE5949">
      <w:pPr>
        <w:pStyle w:val="ListParagraph"/>
        <w:numPr>
          <w:ilvl w:val="0"/>
          <w:numId w:val="1"/>
        </w:numPr>
        <w:rPr>
          <w:rFonts w:ascii="Arial" w:hAnsi="Arial" w:cs="Arial"/>
        </w:rPr>
      </w:pPr>
      <w:r w:rsidRPr="004566E8">
        <w:rPr>
          <w:rFonts w:ascii="Arial" w:hAnsi="Arial" w:cs="Arial"/>
        </w:rPr>
        <w:t>Respite care</w:t>
      </w:r>
    </w:p>
    <w:p w14:paraId="4B38E41C" w14:textId="77777777" w:rsidR="004D50D9" w:rsidRDefault="004D50D9" w:rsidP="004D50D9">
      <w:pPr>
        <w:pStyle w:val="Heading1"/>
      </w:pPr>
      <w:bookmarkStart w:id="4" w:name="_Toc525044985"/>
      <w:r w:rsidRPr="009755DB">
        <w:t>APPLICATION PROCEDURES:</w:t>
      </w:r>
      <w:bookmarkEnd w:id="4"/>
    </w:p>
    <w:p w14:paraId="6093EC99" w14:textId="77777777" w:rsidR="004D50D9" w:rsidRPr="009755DB" w:rsidRDefault="004D50D9" w:rsidP="004D50D9">
      <w:pPr>
        <w:spacing w:after="0"/>
        <w:rPr>
          <w:rFonts w:ascii="Arial" w:hAnsi="Arial" w:cs="Arial"/>
        </w:rPr>
      </w:pPr>
    </w:p>
    <w:p w14:paraId="25E88F09"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14:paraId="65C423DC"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14:paraId="30A095BA" w14:textId="67785743" w:rsidR="004D50D9" w:rsidRPr="004566E8" w:rsidRDefault="004D50D9" w:rsidP="004D50D9">
      <w:pPr>
        <w:pStyle w:val="ListParagraph"/>
        <w:numPr>
          <w:ilvl w:val="0"/>
          <w:numId w:val="10"/>
        </w:numPr>
        <w:rPr>
          <w:rFonts w:ascii="Arial" w:hAnsi="Arial" w:cs="Arial"/>
        </w:rPr>
      </w:pPr>
      <w:r w:rsidRPr="004566E8">
        <w:rPr>
          <w:rFonts w:ascii="Arial" w:hAnsi="Arial" w:cs="Arial"/>
        </w:rPr>
        <w:lastRenderedPageBreak/>
        <w:t xml:space="preserve">Applicants must complete and sign </w:t>
      </w:r>
      <w:r w:rsidRPr="004D50D9">
        <w:rPr>
          <w:rFonts w:ascii="Arial" w:hAnsi="Arial" w:cs="Arial"/>
          <w:highlight w:val="yellow"/>
        </w:rPr>
        <w:t>[</w:t>
      </w:r>
      <w:r w:rsidRPr="004D50D9">
        <w:rPr>
          <w:rFonts w:ascii="Arial" w:hAnsi="Arial" w:cs="Arial"/>
          <w:highlight w:val="yellow"/>
        </w:rPr>
        <w:t xml:space="preserve">BEGIN </w:t>
      </w:r>
      <w:r w:rsidRPr="004D50D9">
        <w:rPr>
          <w:rFonts w:ascii="Arial" w:hAnsi="Arial" w:cs="Arial"/>
          <w:highlight w:val="yellow"/>
        </w:rPr>
        <w:t>NEW TEXT]</w:t>
      </w:r>
      <w:r w:rsidRPr="004D50D9">
        <w:rPr>
          <w:rFonts w:ascii="Arial" w:hAnsi="Arial" w:cs="Arial"/>
          <w:highlight w:val="yellow"/>
        </w:rPr>
        <w:t xml:space="preserve"> </w:t>
      </w:r>
      <w:r w:rsidRPr="004D50D9">
        <w:rPr>
          <w:rFonts w:ascii="Arial" w:hAnsi="Arial" w:cs="Arial"/>
          <w:highlight w:val="yellow"/>
        </w:rPr>
        <w:t xml:space="preserve">the </w:t>
      </w:r>
      <w:r w:rsidRPr="004D50D9">
        <w:rPr>
          <w:rFonts w:ascii="Arial" w:hAnsi="Arial" w:cs="Arial"/>
          <w:highlight w:val="yellow"/>
        </w:rPr>
        <w:t xml:space="preserve">paper </w:t>
      </w:r>
      <w:r w:rsidRPr="004D50D9">
        <w:rPr>
          <w:rFonts w:ascii="Arial" w:hAnsi="Arial" w:cs="Arial"/>
          <w:highlight w:val="yellow"/>
        </w:rPr>
        <w:t xml:space="preserve">application form provided by the </w:t>
      </w:r>
      <w:proofErr w:type="gramStart"/>
      <w:r w:rsidRPr="004D50D9">
        <w:rPr>
          <w:rFonts w:ascii="Arial" w:hAnsi="Arial" w:cs="Arial"/>
          <w:highlight w:val="yellow"/>
        </w:rPr>
        <w:t>NGCDD</w:t>
      </w:r>
      <w:proofErr w:type="gramEnd"/>
      <w:r w:rsidRPr="004D50D9">
        <w:rPr>
          <w:rFonts w:ascii="Arial" w:hAnsi="Arial" w:cs="Arial"/>
          <w:highlight w:val="yellow"/>
        </w:rPr>
        <w:t xml:space="preserve"> or an application may be submitted online via Google Forms. After the application is submitted it is a requirement of the applicant to notify the NGCDD by sending an email to </w:t>
      </w:r>
      <w:hyperlink r:id="rId10" w:history="1">
        <w:r w:rsidRPr="004D50D9">
          <w:rPr>
            <w:rStyle w:val="Hyperlink"/>
            <w:rFonts w:ascii="Arial" w:hAnsi="Arial" w:cs="Arial"/>
            <w:highlight w:val="yellow"/>
          </w:rPr>
          <w:t>Rortiz@dhhs.nv.gov</w:t>
        </w:r>
      </w:hyperlink>
      <w:r w:rsidRPr="004D50D9">
        <w:rPr>
          <w:rFonts w:ascii="Arial" w:hAnsi="Arial" w:cs="Arial"/>
          <w:highlight w:val="yellow"/>
        </w:rPr>
        <w:t xml:space="preserve"> [END NEW TEXT]</w:t>
      </w:r>
    </w:p>
    <w:p w14:paraId="1B9CBC24"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14:paraId="66EA7410"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14:paraId="4B73727D"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14:paraId="26FBF5BC" w14:textId="77777777" w:rsidR="004D50D9" w:rsidRPr="002814FB" w:rsidRDefault="004D50D9" w:rsidP="004D50D9">
      <w:pPr>
        <w:pStyle w:val="ListParagraph"/>
        <w:numPr>
          <w:ilvl w:val="0"/>
          <w:numId w:val="10"/>
        </w:numPr>
        <w:rPr>
          <w:rFonts w:ascii="Arial" w:hAnsi="Arial" w:cs="Arial"/>
        </w:rPr>
      </w:pPr>
      <w:r w:rsidRPr="004566E8">
        <w:rPr>
          <w:rFonts w:ascii="Arial" w:hAnsi="Arial" w:cs="Arial"/>
        </w:rPr>
        <w:t xml:space="preserve">Applicants may request a waiver of established policy.  These requests must be in </w:t>
      </w:r>
      <w:proofErr w:type="gramStart"/>
      <w:r w:rsidRPr="004566E8">
        <w:rPr>
          <w:rFonts w:ascii="Arial" w:hAnsi="Arial" w:cs="Arial"/>
        </w:rPr>
        <w:t>writing, and</w:t>
      </w:r>
      <w:proofErr w:type="gramEnd"/>
      <w:r w:rsidRPr="004566E8">
        <w:rPr>
          <w:rFonts w:ascii="Arial" w:hAnsi="Arial" w:cs="Arial"/>
        </w:rPr>
        <w:t xml:space="preserve"> will be referred to the Executive Committee for review and action.  NGCDD reserves the right to request written documentation to support any request for a waiver of policy.</w:t>
      </w:r>
      <w:r>
        <w:rPr>
          <w:rFonts w:ascii="Arial" w:hAnsi="Arial" w:cs="Arial"/>
        </w:rPr>
        <w:t xml:space="preserve"> </w:t>
      </w:r>
    </w:p>
    <w:p w14:paraId="6110217A" w14:textId="77777777" w:rsidR="002814FB" w:rsidRPr="009755DB" w:rsidRDefault="002814FB" w:rsidP="00FE5949">
      <w:pPr>
        <w:pStyle w:val="Heading1"/>
      </w:pPr>
      <w:bookmarkStart w:id="5" w:name="_Toc525044983"/>
      <w:r w:rsidRPr="009755DB">
        <w:t>AWARDEE RESPONSIBILITIES:</w:t>
      </w:r>
      <w:bookmarkEnd w:id="5"/>
    </w:p>
    <w:p w14:paraId="42E13650"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14:paraId="54ED719B"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14:paraId="342C1948"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14:paraId="1AD2AE0F"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The NGCDD is looking for creative methods of sharing said information and will consider new and novel approaches to this requirement </w:t>
      </w:r>
    </w:p>
    <w:p w14:paraId="1F6C3331"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14:paraId="14F4AC0E"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14:paraId="097952FB"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An attendee must provide a written, video or other type of presentation and photo to the NGCDD wi</w:t>
      </w:r>
      <w:r w:rsidR="00FE5FBB">
        <w:rPr>
          <w:rFonts w:ascii="Arial" w:hAnsi="Arial" w:cs="Arial"/>
        </w:rPr>
        <w:t>thin six (6</w:t>
      </w:r>
      <w:r w:rsidRPr="004566E8">
        <w:rPr>
          <w:rFonts w:ascii="Arial" w:hAnsi="Arial" w:cs="Arial"/>
        </w:rPr>
        <w:t>) months after the event.</w:t>
      </w:r>
      <w:r w:rsidR="00FE5FBB">
        <w:rPr>
          <w:rFonts w:ascii="Arial" w:hAnsi="Arial" w:cs="Arial"/>
        </w:rPr>
        <w:t xml:space="preserve"> This follow up can be in-person at one of our Council meetings or submitted to the office for dissemination to the Council.</w:t>
      </w:r>
      <w:r w:rsidRPr="004566E8">
        <w:rPr>
          <w:rFonts w:ascii="Arial" w:hAnsi="Arial" w:cs="Arial"/>
        </w:rPr>
        <w:t xml:space="preserve"> In some circumstances, </w:t>
      </w:r>
      <w:r w:rsidR="00FE5FBB">
        <w:rPr>
          <w:rFonts w:ascii="Arial" w:hAnsi="Arial" w:cs="Arial"/>
        </w:rPr>
        <w:t>other arrangements can be made.</w:t>
      </w:r>
    </w:p>
    <w:p w14:paraId="0E711C03" w14:textId="77777777"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14:paraId="244C54BE" w14:textId="77777777"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14:paraId="1F5BB299" w14:textId="77777777" w:rsidR="002814FB" w:rsidRPr="00FE5949" w:rsidRDefault="002814FB" w:rsidP="00FE5949">
      <w:pPr>
        <w:pStyle w:val="Heading1"/>
      </w:pPr>
      <w:bookmarkStart w:id="6" w:name="_Toc525044984"/>
      <w:r w:rsidRPr="00FE5949">
        <w:t>FUNDING LIMITATIONS:</w:t>
      </w:r>
      <w:bookmarkEnd w:id="6"/>
    </w:p>
    <w:p w14:paraId="1BDF6C8E" w14:textId="77777777"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14:paraId="6554364F" w14:textId="63EE3E61" w:rsidR="002814FB" w:rsidRDefault="002814FB" w:rsidP="002814FB">
      <w:pPr>
        <w:pStyle w:val="ListParagraph"/>
        <w:numPr>
          <w:ilvl w:val="1"/>
          <w:numId w:val="11"/>
        </w:numPr>
        <w:rPr>
          <w:rFonts w:ascii="Arial" w:hAnsi="Arial" w:cs="Arial"/>
        </w:rPr>
      </w:pPr>
      <w:r w:rsidRPr="004566E8">
        <w:rPr>
          <w:rFonts w:ascii="Arial" w:hAnsi="Arial" w:cs="Arial"/>
        </w:rPr>
        <w:t xml:space="preserve">All applications are subject to availability of CLDF. </w:t>
      </w:r>
    </w:p>
    <w:p w14:paraId="45DC01A7" w14:textId="04DBFE42" w:rsidR="00F25B3E" w:rsidRPr="004566E8" w:rsidRDefault="00F25B3E" w:rsidP="002814FB">
      <w:pPr>
        <w:pStyle w:val="ListParagraph"/>
        <w:numPr>
          <w:ilvl w:val="1"/>
          <w:numId w:val="11"/>
        </w:numPr>
        <w:rPr>
          <w:rFonts w:ascii="Arial" w:hAnsi="Arial" w:cs="Arial"/>
        </w:rPr>
      </w:pPr>
      <w:r>
        <w:rPr>
          <w:rFonts w:ascii="Arial" w:hAnsi="Arial" w:cs="Arial"/>
        </w:rPr>
        <w:t xml:space="preserve">All amounts must follow GSA rates for the destination. </w:t>
      </w:r>
    </w:p>
    <w:p w14:paraId="6AB473C6"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lastRenderedPageBreak/>
        <w:t>The maximum allowable amounts are as follows:</w:t>
      </w:r>
    </w:p>
    <w:p w14:paraId="27CA7588" w14:textId="2CA94D47" w:rsidR="002814FB" w:rsidRPr="000C2EE2" w:rsidRDefault="000C2EE2" w:rsidP="002814FB">
      <w:pPr>
        <w:pStyle w:val="ListParagraph"/>
        <w:numPr>
          <w:ilvl w:val="0"/>
          <w:numId w:val="16"/>
        </w:numPr>
        <w:rPr>
          <w:rFonts w:ascii="Arial" w:hAnsi="Arial" w:cs="Arial"/>
          <w:highlight w:val="yellow"/>
        </w:rPr>
      </w:pPr>
      <w:r w:rsidRPr="000C2EE2">
        <w:rPr>
          <w:rFonts w:ascii="Arial" w:hAnsi="Arial" w:cs="Arial"/>
          <w:highlight w:val="yellow"/>
        </w:rPr>
        <w:t xml:space="preserve">(BEGIN NEW TEXT) </w:t>
      </w:r>
      <w:r w:rsidR="002814FB" w:rsidRPr="000C2EE2">
        <w:rPr>
          <w:rFonts w:ascii="Arial" w:hAnsi="Arial" w:cs="Arial"/>
          <w:highlight w:val="yellow"/>
        </w:rPr>
        <w:t>For events within the State of Nevada-</w:t>
      </w:r>
    </w:p>
    <w:p w14:paraId="1D0BACE3" w14:textId="112F50E5" w:rsidR="002814FB" w:rsidRPr="000C2EE2" w:rsidRDefault="002814FB" w:rsidP="002814FB">
      <w:pPr>
        <w:pStyle w:val="ListParagraph"/>
        <w:numPr>
          <w:ilvl w:val="0"/>
          <w:numId w:val="4"/>
        </w:numPr>
        <w:rPr>
          <w:rFonts w:ascii="Arial" w:hAnsi="Arial" w:cs="Arial"/>
          <w:highlight w:val="yellow"/>
        </w:rPr>
      </w:pPr>
      <w:r w:rsidRPr="000C2EE2">
        <w:rPr>
          <w:rFonts w:ascii="Arial" w:hAnsi="Arial" w:cs="Arial"/>
          <w:highlight w:val="yellow"/>
        </w:rPr>
        <w:t>$</w:t>
      </w:r>
      <w:r w:rsidR="00F25B3E" w:rsidRPr="000C2EE2">
        <w:rPr>
          <w:rFonts w:ascii="Arial" w:hAnsi="Arial" w:cs="Arial"/>
          <w:highlight w:val="yellow"/>
        </w:rPr>
        <w:t>1000</w:t>
      </w:r>
      <w:r w:rsidRPr="000C2EE2">
        <w:rPr>
          <w:rFonts w:ascii="Arial" w:hAnsi="Arial" w:cs="Arial"/>
          <w:highlight w:val="yellow"/>
        </w:rPr>
        <w:t xml:space="preserve">.00 individual </w:t>
      </w:r>
    </w:p>
    <w:p w14:paraId="63F44912" w14:textId="15D51EAC" w:rsidR="002814FB" w:rsidRPr="000C2EE2" w:rsidRDefault="002814FB" w:rsidP="002814FB">
      <w:pPr>
        <w:pStyle w:val="ListParagraph"/>
        <w:numPr>
          <w:ilvl w:val="2"/>
          <w:numId w:val="3"/>
        </w:numPr>
        <w:rPr>
          <w:rFonts w:ascii="Arial" w:hAnsi="Arial" w:cs="Arial"/>
          <w:highlight w:val="yellow"/>
        </w:rPr>
      </w:pPr>
      <w:r w:rsidRPr="000C2EE2">
        <w:rPr>
          <w:rFonts w:ascii="Arial" w:hAnsi="Arial" w:cs="Arial"/>
          <w:highlight w:val="yellow"/>
        </w:rPr>
        <w:t>$</w:t>
      </w:r>
      <w:r w:rsidR="00F25B3E" w:rsidRPr="000C2EE2">
        <w:rPr>
          <w:rFonts w:ascii="Arial" w:hAnsi="Arial" w:cs="Arial"/>
          <w:highlight w:val="yellow"/>
        </w:rPr>
        <w:t>1750</w:t>
      </w:r>
      <w:r w:rsidRPr="000C2EE2">
        <w:rPr>
          <w:rFonts w:ascii="Arial" w:hAnsi="Arial" w:cs="Arial"/>
          <w:highlight w:val="yellow"/>
        </w:rPr>
        <w:t xml:space="preserve">.00 family </w:t>
      </w:r>
    </w:p>
    <w:p w14:paraId="2DA411C1" w14:textId="77777777" w:rsidR="002814FB" w:rsidRPr="000C2EE2" w:rsidRDefault="002814FB" w:rsidP="002814FB">
      <w:pPr>
        <w:pStyle w:val="ListParagraph"/>
        <w:numPr>
          <w:ilvl w:val="0"/>
          <w:numId w:val="16"/>
        </w:numPr>
        <w:rPr>
          <w:rFonts w:ascii="Arial" w:hAnsi="Arial" w:cs="Arial"/>
          <w:highlight w:val="yellow"/>
        </w:rPr>
      </w:pPr>
      <w:r w:rsidRPr="000C2EE2">
        <w:rPr>
          <w:rFonts w:ascii="Arial" w:hAnsi="Arial" w:cs="Arial"/>
          <w:highlight w:val="yellow"/>
        </w:rPr>
        <w:t xml:space="preserve">For events outside the State of </w:t>
      </w:r>
      <w:smartTag w:uri="urn:schemas-microsoft-com:office:smarttags" w:element="PostalCode">
        <w:r w:rsidRPr="000C2EE2">
          <w:rPr>
            <w:rFonts w:ascii="Arial" w:hAnsi="Arial" w:cs="Arial"/>
            <w:highlight w:val="yellow"/>
          </w:rPr>
          <w:t>Nevada-</w:t>
        </w:r>
      </w:smartTag>
    </w:p>
    <w:p w14:paraId="0A49E744" w14:textId="791E8810" w:rsidR="002814FB" w:rsidRPr="000C2EE2" w:rsidRDefault="002814FB" w:rsidP="002814FB">
      <w:pPr>
        <w:pStyle w:val="ListParagraph"/>
        <w:numPr>
          <w:ilvl w:val="2"/>
          <w:numId w:val="3"/>
        </w:numPr>
        <w:rPr>
          <w:rFonts w:ascii="Arial" w:hAnsi="Arial" w:cs="Arial"/>
          <w:highlight w:val="yellow"/>
        </w:rPr>
      </w:pPr>
      <w:r w:rsidRPr="000C2EE2">
        <w:rPr>
          <w:rFonts w:ascii="Arial" w:hAnsi="Arial" w:cs="Arial"/>
          <w:highlight w:val="yellow"/>
        </w:rPr>
        <w:t>$</w:t>
      </w:r>
      <w:r w:rsidR="004D50D9">
        <w:rPr>
          <w:rFonts w:ascii="Arial" w:hAnsi="Arial" w:cs="Arial"/>
          <w:highlight w:val="yellow"/>
        </w:rPr>
        <w:t>1750</w:t>
      </w:r>
      <w:r w:rsidRPr="000C2EE2">
        <w:rPr>
          <w:rFonts w:ascii="Arial" w:hAnsi="Arial" w:cs="Arial"/>
          <w:highlight w:val="yellow"/>
        </w:rPr>
        <w:t xml:space="preserve">.00 individual </w:t>
      </w:r>
    </w:p>
    <w:p w14:paraId="5039E07D" w14:textId="221F455F" w:rsidR="002814FB" w:rsidRPr="000C2EE2" w:rsidRDefault="002814FB" w:rsidP="002814FB">
      <w:pPr>
        <w:pStyle w:val="ListParagraph"/>
        <w:numPr>
          <w:ilvl w:val="2"/>
          <w:numId w:val="3"/>
        </w:numPr>
        <w:rPr>
          <w:rFonts w:ascii="Arial" w:hAnsi="Arial" w:cs="Arial"/>
          <w:highlight w:val="yellow"/>
        </w:rPr>
      </w:pPr>
      <w:r w:rsidRPr="000C2EE2">
        <w:rPr>
          <w:rFonts w:ascii="Arial" w:hAnsi="Arial" w:cs="Arial"/>
          <w:highlight w:val="yellow"/>
        </w:rPr>
        <w:t>$</w:t>
      </w:r>
      <w:r w:rsidR="004D50D9">
        <w:rPr>
          <w:rFonts w:ascii="Arial" w:hAnsi="Arial" w:cs="Arial"/>
          <w:highlight w:val="yellow"/>
        </w:rPr>
        <w:t>2500</w:t>
      </w:r>
      <w:r w:rsidRPr="000C2EE2">
        <w:rPr>
          <w:rFonts w:ascii="Arial" w:hAnsi="Arial" w:cs="Arial"/>
          <w:highlight w:val="yellow"/>
        </w:rPr>
        <w:t>.00 family</w:t>
      </w:r>
      <w:r w:rsidR="004D50D9">
        <w:rPr>
          <w:rFonts w:ascii="Arial" w:hAnsi="Arial" w:cs="Arial"/>
          <w:highlight w:val="yellow"/>
        </w:rPr>
        <w:t xml:space="preserve"> </w:t>
      </w:r>
      <w:r w:rsidR="000C2EE2" w:rsidRPr="000C2EE2">
        <w:rPr>
          <w:rFonts w:ascii="Arial" w:hAnsi="Arial" w:cs="Arial"/>
          <w:highlight w:val="yellow"/>
        </w:rPr>
        <w:t xml:space="preserve">(END NEW TEXT) </w:t>
      </w:r>
      <w:r w:rsidRPr="000C2EE2">
        <w:rPr>
          <w:rFonts w:ascii="Arial" w:hAnsi="Arial" w:cs="Arial"/>
          <w:highlight w:val="yellow"/>
        </w:rPr>
        <w:t xml:space="preserve"> </w:t>
      </w:r>
    </w:p>
    <w:p w14:paraId="5765EB82"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14:paraId="09EC3D98" w14:textId="76CEDF15" w:rsidR="00F25B3E" w:rsidRDefault="00F25B3E" w:rsidP="002814FB">
      <w:pPr>
        <w:pStyle w:val="ListParagraph"/>
        <w:numPr>
          <w:ilvl w:val="1"/>
          <w:numId w:val="11"/>
        </w:numPr>
        <w:rPr>
          <w:rFonts w:ascii="Arial" w:hAnsi="Arial" w:cs="Arial"/>
        </w:rPr>
      </w:pPr>
      <w:r>
        <w:rPr>
          <w:rFonts w:ascii="Arial" w:hAnsi="Arial" w:cs="Arial"/>
        </w:rPr>
        <w:t xml:space="preserve">Funds are available by Council approval until all funds for the current FFY have been depleted. </w:t>
      </w:r>
    </w:p>
    <w:p w14:paraId="7C08BABB" w14:textId="06B5DD02"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14:paraId="75F09656" w14:textId="77777777"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14:paraId="29C44B91" w14:textId="77777777"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14:paraId="6A93C9EC"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revised, but will not be considered for review until it is complete. </w:t>
      </w:r>
    </w:p>
    <w:p w14:paraId="42B6512E" w14:textId="37DE11B6" w:rsidR="002814FB" w:rsidRPr="004566E8" w:rsidRDefault="002814FB" w:rsidP="002814FB">
      <w:pPr>
        <w:pStyle w:val="ListParagraph"/>
        <w:numPr>
          <w:ilvl w:val="0"/>
          <w:numId w:val="5"/>
        </w:numPr>
        <w:rPr>
          <w:rFonts w:ascii="Arial" w:hAnsi="Arial" w:cs="Arial"/>
        </w:rPr>
      </w:pPr>
      <w:r w:rsidRPr="004566E8">
        <w:rPr>
          <w:rFonts w:ascii="Arial" w:hAnsi="Arial" w:cs="Arial"/>
        </w:rPr>
        <w:t>Complete applications will be considered on a “first-received, first-considered” basis and in accordance with the priority eligibility and limitations as outline</w:t>
      </w:r>
      <w:r w:rsidR="0040034C">
        <w:rPr>
          <w:rFonts w:ascii="Arial" w:hAnsi="Arial" w:cs="Arial"/>
        </w:rPr>
        <w:t>d</w:t>
      </w:r>
      <w:r w:rsidRPr="004566E8">
        <w:rPr>
          <w:rFonts w:ascii="Arial" w:hAnsi="Arial" w:cs="Arial"/>
        </w:rPr>
        <w:t xml:space="preserve"> above. </w:t>
      </w:r>
    </w:p>
    <w:p w14:paraId="67552182" w14:textId="5D5A38CD"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t>When the number of applications exceeds the limitation as outline</w:t>
      </w:r>
      <w:r w:rsidR="0040034C">
        <w:rPr>
          <w:rFonts w:ascii="Arial" w:hAnsi="Arial" w:cs="Arial"/>
        </w:rPr>
        <w:t>d</w:t>
      </w:r>
      <w:r w:rsidRPr="004566E8">
        <w:rPr>
          <w:rFonts w:ascii="Arial" w:hAnsi="Arial" w:cs="Arial"/>
        </w:rPr>
        <w:t xml:space="preserve"> below, the applications will be considered according to the date and time that the fully complete applicatio</w:t>
      </w:r>
      <w:r>
        <w:rPr>
          <w:rFonts w:ascii="Arial" w:hAnsi="Arial" w:cs="Arial"/>
        </w:rPr>
        <w:t>n was received by NGCDD staff.</w:t>
      </w:r>
    </w:p>
    <w:p w14:paraId="47F36339" w14:textId="77777777"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14:paraId="5F326A3B"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14:paraId="2C22422F" w14:textId="064276FF" w:rsidR="002814FB" w:rsidRPr="004566E8" w:rsidRDefault="002814FB" w:rsidP="002814FB">
      <w:pPr>
        <w:pStyle w:val="ListParagraph"/>
        <w:numPr>
          <w:ilvl w:val="1"/>
          <w:numId w:val="2"/>
        </w:numPr>
        <w:rPr>
          <w:rFonts w:ascii="Arial" w:hAnsi="Arial" w:cs="Arial"/>
        </w:rPr>
      </w:pPr>
      <w:r w:rsidRPr="004566E8">
        <w:rPr>
          <w:rFonts w:ascii="Arial" w:hAnsi="Arial" w:cs="Arial"/>
        </w:rPr>
        <w:t>A maximum of</w:t>
      </w:r>
      <w:r w:rsidR="004D50D9">
        <w:rPr>
          <w:rFonts w:ascii="Arial" w:hAnsi="Arial" w:cs="Arial"/>
        </w:rPr>
        <w:t xml:space="preserve"> </w:t>
      </w:r>
      <w:r w:rsidR="004D50D9" w:rsidRPr="004D50D9">
        <w:rPr>
          <w:rFonts w:ascii="Arial" w:hAnsi="Arial" w:cs="Arial"/>
          <w:highlight w:val="yellow"/>
        </w:rPr>
        <w:t>[</w:t>
      </w:r>
      <w:r w:rsidR="004D50D9" w:rsidRPr="004D50D9">
        <w:rPr>
          <w:rFonts w:ascii="Arial" w:hAnsi="Arial" w:cs="Arial"/>
          <w:highlight w:val="yellow"/>
        </w:rPr>
        <w:t>BEGIN</w:t>
      </w:r>
      <w:r w:rsidR="004D50D9" w:rsidRPr="004D50D9">
        <w:rPr>
          <w:rFonts w:ascii="Arial" w:hAnsi="Arial" w:cs="Arial"/>
          <w:highlight w:val="yellow"/>
        </w:rPr>
        <w:t xml:space="preserve"> NEW TEXT]</w:t>
      </w:r>
      <w:r w:rsidRPr="004D50D9">
        <w:rPr>
          <w:rFonts w:ascii="Arial" w:hAnsi="Arial" w:cs="Arial"/>
          <w:highlight w:val="yellow"/>
        </w:rPr>
        <w:t xml:space="preserve"> </w:t>
      </w:r>
      <w:r w:rsidR="004D50D9" w:rsidRPr="004D50D9">
        <w:rPr>
          <w:rFonts w:ascii="Arial" w:hAnsi="Arial" w:cs="Arial"/>
          <w:highlight w:val="yellow"/>
        </w:rPr>
        <w:t xml:space="preserve">five </w:t>
      </w:r>
      <w:r w:rsidR="004D50D9" w:rsidRPr="004D50D9">
        <w:rPr>
          <w:rFonts w:ascii="Arial" w:hAnsi="Arial" w:cs="Arial"/>
          <w:highlight w:val="yellow"/>
        </w:rPr>
        <w:t>[END NEW TEXT]</w:t>
      </w:r>
      <w:r w:rsidR="004D50D9">
        <w:rPr>
          <w:rFonts w:ascii="Arial" w:hAnsi="Arial" w:cs="Arial"/>
        </w:rPr>
        <w:t xml:space="preserve"> </w:t>
      </w:r>
      <w:r w:rsidRPr="004566E8">
        <w:rPr>
          <w:rFonts w:ascii="Arial" w:hAnsi="Arial" w:cs="Arial"/>
        </w:rPr>
        <w:t>applications will be approved for any</w:t>
      </w:r>
      <w:r w:rsidR="004D50D9">
        <w:rPr>
          <w:rFonts w:ascii="Arial" w:hAnsi="Arial" w:cs="Arial"/>
        </w:rPr>
        <w:t xml:space="preserve"> </w:t>
      </w:r>
      <w:r w:rsidR="004D50D9" w:rsidRPr="004D50D9">
        <w:rPr>
          <w:rFonts w:ascii="Arial" w:hAnsi="Arial" w:cs="Arial"/>
          <w:highlight w:val="yellow"/>
        </w:rPr>
        <w:t>[</w:t>
      </w:r>
      <w:r w:rsidR="004D50D9" w:rsidRPr="004D50D9">
        <w:rPr>
          <w:rFonts w:ascii="Arial" w:hAnsi="Arial" w:cs="Arial"/>
          <w:highlight w:val="yellow"/>
        </w:rPr>
        <w:t>BEGIN</w:t>
      </w:r>
      <w:r w:rsidR="004D50D9" w:rsidRPr="004D50D9">
        <w:rPr>
          <w:rFonts w:ascii="Arial" w:hAnsi="Arial" w:cs="Arial"/>
          <w:highlight w:val="yellow"/>
        </w:rPr>
        <w:t xml:space="preserve"> NEW TEXT]</w:t>
      </w:r>
      <w:r w:rsidRPr="004D50D9">
        <w:rPr>
          <w:rFonts w:ascii="Arial" w:hAnsi="Arial" w:cs="Arial"/>
          <w:highlight w:val="yellow"/>
        </w:rPr>
        <w:t xml:space="preserve"> </w:t>
      </w:r>
      <w:r w:rsidR="004D50D9" w:rsidRPr="004D50D9">
        <w:rPr>
          <w:rFonts w:ascii="Arial" w:hAnsi="Arial" w:cs="Arial"/>
          <w:highlight w:val="yellow"/>
        </w:rPr>
        <w:t xml:space="preserve">single </w:t>
      </w:r>
      <w:r w:rsidR="004D50D9" w:rsidRPr="004D50D9">
        <w:rPr>
          <w:rFonts w:ascii="Arial" w:hAnsi="Arial" w:cs="Arial"/>
          <w:highlight w:val="yellow"/>
        </w:rPr>
        <w:t>[END NEW TEXT]</w:t>
      </w:r>
      <w:r w:rsidR="004D50D9">
        <w:rPr>
          <w:rFonts w:ascii="Arial" w:hAnsi="Arial" w:cs="Arial"/>
        </w:rPr>
        <w:t xml:space="preserve"> </w:t>
      </w:r>
      <w:r w:rsidRPr="004566E8">
        <w:rPr>
          <w:rFonts w:ascii="Arial" w:hAnsi="Arial" w:cs="Arial"/>
        </w:rPr>
        <w:t xml:space="preserve">in-state event unless the event is sponsored by the NGCDD or one of its grantees.  </w:t>
      </w:r>
    </w:p>
    <w:p w14:paraId="3951DC5E" w14:textId="77777777" w:rsidR="002814FB" w:rsidRPr="00FE5949" w:rsidRDefault="002814FB" w:rsidP="00FE5949">
      <w:pPr>
        <w:pStyle w:val="ListParagraph"/>
        <w:numPr>
          <w:ilvl w:val="1"/>
          <w:numId w:val="2"/>
        </w:numPr>
        <w:rPr>
          <w:rFonts w:ascii="Arial" w:hAnsi="Arial" w:cs="Arial"/>
        </w:rPr>
      </w:pPr>
      <w:r w:rsidRPr="004566E8">
        <w:rPr>
          <w:rFonts w:ascii="Arial" w:hAnsi="Arial" w:cs="Arial"/>
        </w:rPr>
        <w:t>When possible, the NGCDD Executive Committee will avoid funding duplicate topics in 2-5 year segments.</w:t>
      </w:r>
    </w:p>
    <w:p w14:paraId="01EE049C" w14:textId="77777777" w:rsidR="002814FB" w:rsidRPr="004566E8" w:rsidRDefault="002814FB" w:rsidP="00FE5949">
      <w:pPr>
        <w:pStyle w:val="Heading1"/>
      </w:pPr>
      <w:bookmarkStart w:id="7" w:name="_Toc525044986"/>
      <w:r w:rsidRPr="004566E8">
        <w:t>PAYMENT/REIMBURSEMENTS:</w:t>
      </w:r>
      <w:bookmarkEnd w:id="7"/>
    </w:p>
    <w:p w14:paraId="23337C63"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14:paraId="09379FC9"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lastRenderedPageBreak/>
        <w:t>Attendees must submit their participation report and expense receipts within 30 days after the last day event was held.</w:t>
      </w:r>
    </w:p>
    <w:p w14:paraId="35F9A6E1"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14:paraId="4583DCCE" w14:textId="3A212126" w:rsidR="002814FB" w:rsidRPr="00A24FFA" w:rsidRDefault="00142BEE" w:rsidP="00FE5949">
      <w:pPr>
        <w:pStyle w:val="ListParagraph"/>
        <w:numPr>
          <w:ilvl w:val="0"/>
          <w:numId w:val="17"/>
        </w:numPr>
        <w:rPr>
          <w:rFonts w:ascii="Arial" w:hAnsi="Arial" w:cs="Arial"/>
          <w:highlight w:val="yellow"/>
        </w:rPr>
      </w:pPr>
      <w:r>
        <w:rPr>
          <w:rFonts w:ascii="Arial" w:hAnsi="Arial" w:cs="Arial"/>
          <w:highlight w:val="yellow"/>
        </w:rPr>
        <w:t xml:space="preserve">(BEGIN NEW TEXT) </w:t>
      </w:r>
      <w:r w:rsidR="00534D2C" w:rsidRPr="00A24FFA">
        <w:rPr>
          <w:rFonts w:ascii="Arial" w:hAnsi="Arial" w:cs="Arial"/>
          <w:highlight w:val="yellow"/>
        </w:rPr>
        <w:t xml:space="preserve">If the recipient is requesting an advanced payment of approved travel expenses, this must be indicated on the CLDF application. </w:t>
      </w:r>
    </w:p>
    <w:p w14:paraId="253EC1A6" w14:textId="5C297C8D" w:rsidR="00534D2C" w:rsidRPr="00A24FFA" w:rsidRDefault="00534D2C" w:rsidP="00FE5949">
      <w:pPr>
        <w:pStyle w:val="ListParagraph"/>
        <w:numPr>
          <w:ilvl w:val="0"/>
          <w:numId w:val="17"/>
        </w:numPr>
        <w:rPr>
          <w:rFonts w:ascii="Arial" w:hAnsi="Arial" w:cs="Arial"/>
          <w:highlight w:val="yellow"/>
        </w:rPr>
      </w:pPr>
      <w:r w:rsidRPr="00A24FFA">
        <w:rPr>
          <w:rFonts w:ascii="Arial" w:hAnsi="Arial" w:cs="Arial"/>
          <w:highlight w:val="yellow"/>
        </w:rPr>
        <w:t>Advanced payment of approved travel expenses will be provided at least 30 days prior to the event.</w:t>
      </w:r>
      <w:r w:rsidR="00142BEE">
        <w:rPr>
          <w:rFonts w:ascii="Arial" w:hAnsi="Arial" w:cs="Arial"/>
          <w:highlight w:val="yellow"/>
        </w:rPr>
        <w:t xml:space="preserve"> (END NEW TEXT)</w:t>
      </w:r>
      <w:r w:rsidRPr="00A24FFA">
        <w:rPr>
          <w:rFonts w:ascii="Arial" w:hAnsi="Arial" w:cs="Arial"/>
          <w:highlight w:val="yellow"/>
        </w:rPr>
        <w:t xml:space="preserve"> </w:t>
      </w:r>
    </w:p>
    <w:p w14:paraId="6EBAA738" w14:textId="77777777" w:rsidR="002814FB" w:rsidRDefault="002814FB" w:rsidP="00FE5949">
      <w:pPr>
        <w:pStyle w:val="Heading1"/>
      </w:pPr>
      <w:bookmarkStart w:id="8" w:name="_Toc525044987"/>
      <w:r w:rsidRPr="004566E8">
        <w:t>DISCLAIMERS:</w:t>
      </w:r>
      <w:bookmarkEnd w:id="8"/>
    </w:p>
    <w:p w14:paraId="09AE0E20" w14:textId="77777777" w:rsidR="002814FB" w:rsidRPr="004566E8" w:rsidRDefault="002814FB" w:rsidP="002814FB">
      <w:pPr>
        <w:pStyle w:val="ListParagraph"/>
        <w:ind w:left="0"/>
        <w:rPr>
          <w:rFonts w:ascii="Arial" w:hAnsi="Arial" w:cs="Arial"/>
        </w:rPr>
      </w:pPr>
    </w:p>
    <w:p w14:paraId="7560A1FC"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14:paraId="173341E0"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NGCDD reserves the right to use discretionary judgment, as it deems appropriate, on any and all applications.</w:t>
      </w:r>
    </w:p>
    <w:p w14:paraId="2472F5A2"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14:paraId="694617B9" w14:textId="77777777"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14:paraId="4109062C" w14:textId="77777777"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taxes incurred as a result of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14:paraId="123EAA64" w14:textId="77777777" w:rsidR="002814FB" w:rsidRPr="004566E8" w:rsidRDefault="002814FB" w:rsidP="00FE5949">
      <w:pPr>
        <w:pStyle w:val="Heading1"/>
      </w:pPr>
      <w:bookmarkStart w:id="9" w:name="_Toc525044988"/>
      <w:r w:rsidRPr="004566E8">
        <w:t>CONTACT NGCDD</w:t>
      </w:r>
      <w:bookmarkEnd w:id="9"/>
    </w:p>
    <w:p w14:paraId="091B8118" w14:textId="77777777" w:rsidR="002814FB" w:rsidRPr="004566E8" w:rsidRDefault="002814FB" w:rsidP="002814FB">
      <w:pPr>
        <w:pStyle w:val="ListParagraph"/>
        <w:ind w:left="810"/>
        <w:rPr>
          <w:rFonts w:ascii="Arial" w:hAnsi="Arial" w:cs="Arial"/>
          <w:szCs w:val="24"/>
        </w:rPr>
      </w:pPr>
    </w:p>
    <w:p w14:paraId="7F34231F"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1"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14:paraId="0E345F51"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14:paraId="0A394E11"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14:paraId="53749906" w14:textId="0E0FCF63" w:rsidR="002814FB" w:rsidRPr="004566E8" w:rsidRDefault="004D50D9" w:rsidP="002814FB">
      <w:pPr>
        <w:pStyle w:val="ListParagraph"/>
        <w:ind w:left="810" w:firstLine="360"/>
        <w:rPr>
          <w:rFonts w:ascii="Arial" w:hAnsi="Arial" w:cs="Arial"/>
          <w:szCs w:val="24"/>
        </w:rPr>
      </w:pPr>
      <w:r>
        <w:rPr>
          <w:rFonts w:ascii="Arial" w:hAnsi="Arial" w:cs="Arial"/>
          <w:szCs w:val="24"/>
        </w:rPr>
        <w:t>808 W. Nye Lane</w:t>
      </w:r>
    </w:p>
    <w:p w14:paraId="3B1F5385"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 xml:space="preserve">Carson </w:t>
      </w:r>
      <w:r>
        <w:rPr>
          <w:rFonts w:ascii="Arial" w:hAnsi="Arial" w:cs="Arial"/>
          <w:szCs w:val="24"/>
        </w:rPr>
        <w:t xml:space="preserve">City, Nevada, </w:t>
      </w:r>
      <w:r w:rsidRPr="004566E8">
        <w:rPr>
          <w:rFonts w:ascii="Arial" w:hAnsi="Arial" w:cs="Arial"/>
          <w:szCs w:val="24"/>
        </w:rPr>
        <w:t>89703</w:t>
      </w:r>
    </w:p>
    <w:p w14:paraId="708E6FAA" w14:textId="77777777" w:rsidR="004D50D9" w:rsidRDefault="002814FB" w:rsidP="004D50D9">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14:paraId="32F8BDFB" w14:textId="235ECD56" w:rsidR="004D50D9" w:rsidRPr="004D50D9" w:rsidRDefault="004D50D9" w:rsidP="004D50D9">
      <w:pPr>
        <w:pStyle w:val="ListParagraph"/>
        <w:ind w:left="810" w:firstLine="360"/>
        <w:rPr>
          <w:rFonts w:ascii="Arial" w:hAnsi="Arial" w:cs="Arial"/>
          <w:szCs w:val="24"/>
        </w:rPr>
      </w:pPr>
      <w:r w:rsidRPr="004D50D9">
        <w:rPr>
          <w:rFonts w:ascii="Arial" w:hAnsi="Arial" w:cs="Arial"/>
          <w:szCs w:val="24"/>
        </w:rPr>
        <w:t xml:space="preserve">Or via email to: </w:t>
      </w:r>
      <w:r w:rsidRPr="004D50D9">
        <w:rPr>
          <w:rFonts w:ascii="Arial" w:hAnsi="Arial" w:cs="Arial"/>
          <w:szCs w:val="24"/>
        </w:rPr>
        <w:t xml:space="preserve">Rebecca Ortiz at </w:t>
      </w:r>
      <w:hyperlink r:id="rId12" w:history="1">
        <w:r w:rsidRPr="004D50D9">
          <w:rPr>
            <w:rStyle w:val="Hyperlink"/>
            <w:rFonts w:ascii="Arial" w:hAnsi="Arial" w:cs="Arial"/>
            <w:szCs w:val="24"/>
          </w:rPr>
          <w:t>Rortiz@dhhs.nv.gov</w:t>
        </w:r>
      </w:hyperlink>
      <w:r w:rsidRPr="004D50D9">
        <w:rPr>
          <w:rFonts w:ascii="Arial" w:hAnsi="Arial" w:cs="Arial"/>
          <w:szCs w:val="24"/>
        </w:rPr>
        <w:t>.</w:t>
      </w:r>
    </w:p>
    <w:p w14:paraId="4D6DB8FC" w14:textId="6D9C0988"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sidR="000C2EE2">
        <w:rPr>
          <w:rFonts w:ascii="Arial" w:hAnsi="Arial" w:cs="Arial"/>
          <w:szCs w:val="24"/>
        </w:rPr>
        <w:t>Rebecca Ortiz</w:t>
      </w:r>
      <w:r>
        <w:rPr>
          <w:rFonts w:ascii="Arial" w:hAnsi="Arial" w:cs="Arial"/>
          <w:szCs w:val="24"/>
        </w:rPr>
        <w:t xml:space="preserve"> </w:t>
      </w:r>
      <w:r w:rsidRPr="002814FB">
        <w:rPr>
          <w:rFonts w:ascii="Arial" w:hAnsi="Arial" w:cs="Arial"/>
          <w:szCs w:val="24"/>
        </w:rPr>
        <w:t xml:space="preserve">at (775)684-8619 </w:t>
      </w:r>
      <w:r>
        <w:rPr>
          <w:rFonts w:ascii="Arial" w:hAnsi="Arial" w:cs="Arial"/>
          <w:szCs w:val="24"/>
        </w:rPr>
        <w:t>or</w:t>
      </w:r>
      <w:r w:rsidR="000C2EE2">
        <w:rPr>
          <w:rFonts w:ascii="Arial" w:hAnsi="Arial" w:cs="Arial"/>
          <w:szCs w:val="24"/>
        </w:rPr>
        <w:t xml:space="preserve"> </w:t>
      </w:r>
      <w:hyperlink r:id="rId13" w:history="1">
        <w:r w:rsidR="000C2EE2" w:rsidRPr="006E5386">
          <w:rPr>
            <w:rStyle w:val="Hyperlink"/>
            <w:rFonts w:ascii="Arial" w:hAnsi="Arial" w:cs="Arial"/>
            <w:szCs w:val="24"/>
          </w:rPr>
          <w:t>Rortiz@dhhs.nv.gov</w:t>
        </w:r>
      </w:hyperlink>
      <w:r w:rsidR="000C2EE2">
        <w:rPr>
          <w:rFonts w:ascii="Arial" w:hAnsi="Arial" w:cs="Arial"/>
          <w:szCs w:val="24"/>
        </w:rPr>
        <w:t xml:space="preserve">. </w:t>
      </w:r>
      <w:r>
        <w:rPr>
          <w:rFonts w:ascii="Arial" w:hAnsi="Arial" w:cs="Arial"/>
          <w:szCs w:val="24"/>
        </w:rPr>
        <w:t xml:space="preserve"> </w:t>
      </w:r>
    </w:p>
    <w:p w14:paraId="055E88A5" w14:textId="77777777"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4" w:history="1">
        <w:r w:rsidRPr="00903ABF">
          <w:rPr>
            <w:rStyle w:val="Hyperlink"/>
            <w:rFonts w:ascii="Arial" w:hAnsi="Arial" w:cs="Arial"/>
            <w:sz w:val="20"/>
            <w:szCs w:val="20"/>
          </w:rPr>
          <w:t>here</w:t>
        </w:r>
      </w:hyperlink>
      <w:r>
        <w:rPr>
          <w:rFonts w:ascii="Arial" w:hAnsi="Arial" w:cs="Arial"/>
          <w:sz w:val="20"/>
          <w:szCs w:val="20"/>
        </w:rPr>
        <w:t xml:space="preserve">. </w:t>
      </w:r>
    </w:p>
    <w:p w14:paraId="16ACE767" w14:textId="77777777" w:rsidR="00903ABF" w:rsidRDefault="00903ABF" w:rsidP="00FE5949">
      <w:pPr>
        <w:spacing w:after="0"/>
        <w:rPr>
          <w:rFonts w:ascii="Arial" w:hAnsi="Arial" w:cs="Arial"/>
          <w:i/>
          <w:sz w:val="20"/>
          <w:szCs w:val="20"/>
        </w:rPr>
      </w:pPr>
    </w:p>
    <w:p w14:paraId="02361C82" w14:textId="15FF23B2" w:rsidR="00903ABF" w:rsidRDefault="00142BEE" w:rsidP="00FE5949">
      <w:pPr>
        <w:spacing w:after="0"/>
        <w:rPr>
          <w:rFonts w:ascii="Arial" w:hAnsi="Arial" w:cs="Arial"/>
          <w:i/>
          <w:sz w:val="20"/>
          <w:szCs w:val="20"/>
        </w:rPr>
      </w:pPr>
      <w:r>
        <w:rPr>
          <w:rFonts w:ascii="Arial" w:hAnsi="Arial" w:cs="Arial"/>
          <w:highlight w:val="yellow"/>
        </w:rPr>
        <w:t xml:space="preserve">(BEGIN NEW TEXT) </w:t>
      </w:r>
      <w:r w:rsidR="00AC57E7" w:rsidRPr="00A24FFA">
        <w:rPr>
          <w:rFonts w:ascii="Arial" w:hAnsi="Arial" w:cs="Arial"/>
          <w:i/>
          <w:sz w:val="20"/>
          <w:szCs w:val="20"/>
          <w:highlight w:val="yellow"/>
        </w:rPr>
        <w:t xml:space="preserve">Revised </w:t>
      </w:r>
      <w:r w:rsidR="000C2EE2">
        <w:rPr>
          <w:rFonts w:ascii="Arial" w:hAnsi="Arial" w:cs="Arial"/>
          <w:i/>
          <w:sz w:val="20"/>
          <w:szCs w:val="20"/>
          <w:highlight w:val="yellow"/>
        </w:rPr>
        <w:t xml:space="preserve">09/2022 </w:t>
      </w:r>
      <w:r>
        <w:rPr>
          <w:rFonts w:ascii="Arial" w:hAnsi="Arial" w:cs="Arial"/>
          <w:highlight w:val="yellow"/>
        </w:rPr>
        <w:t>(END NEW TEXT)</w:t>
      </w:r>
    </w:p>
    <w:p w14:paraId="70F062A4" w14:textId="77777777" w:rsidR="00903ABF" w:rsidRPr="00FE5949" w:rsidRDefault="00903ABF" w:rsidP="00FE5949">
      <w:pPr>
        <w:spacing w:after="0"/>
        <w:rPr>
          <w:rFonts w:ascii="Arial" w:hAnsi="Arial" w:cs="Arial"/>
          <w:i/>
          <w:sz w:val="20"/>
          <w:szCs w:val="20"/>
        </w:rPr>
      </w:pPr>
    </w:p>
    <w:sectPr w:rsidR="00903ABF" w:rsidRPr="00FE5949" w:rsidSect="002629A1">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02E" w14:textId="77777777" w:rsidR="00232120" w:rsidRDefault="00232120">
      <w:pPr>
        <w:spacing w:after="0" w:line="240" w:lineRule="auto"/>
      </w:pPr>
      <w:r>
        <w:separator/>
      </w:r>
    </w:p>
  </w:endnote>
  <w:endnote w:type="continuationSeparator" w:id="0">
    <w:p w14:paraId="272B4335" w14:textId="77777777"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45395"/>
      <w:docPartObj>
        <w:docPartGallery w:val="Page Numbers (Bottom of Page)"/>
        <w:docPartUnique/>
      </w:docPartObj>
    </w:sdtPr>
    <w:sdtEndPr>
      <w:rPr>
        <w:noProof/>
      </w:rPr>
    </w:sdtEndPr>
    <w:sdtContent>
      <w:p w14:paraId="31F5F505" w14:textId="77777777"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14:paraId="43C582D4" w14:textId="77777777"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F5B" w14:textId="77777777" w:rsidR="00232120" w:rsidRDefault="00232120">
      <w:pPr>
        <w:spacing w:after="0" w:line="240" w:lineRule="auto"/>
      </w:pPr>
      <w:r>
        <w:separator/>
      </w:r>
    </w:p>
  </w:footnote>
  <w:footnote w:type="continuationSeparator" w:id="0">
    <w:p w14:paraId="65262EC6" w14:textId="77777777"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3"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9"/>
  </w:num>
  <w:num w:numId="6">
    <w:abstractNumId w:val="1"/>
  </w:num>
  <w:num w:numId="7">
    <w:abstractNumId w:val="17"/>
  </w:num>
  <w:num w:numId="8">
    <w:abstractNumId w:val="0"/>
  </w:num>
  <w:num w:numId="9">
    <w:abstractNumId w:val="11"/>
  </w:num>
  <w:num w:numId="10">
    <w:abstractNumId w:val="2"/>
  </w:num>
  <w:num w:numId="11">
    <w:abstractNumId w:val="7"/>
  </w:num>
  <w:num w:numId="12">
    <w:abstractNumId w:val="8"/>
  </w:num>
  <w:num w:numId="13">
    <w:abstractNumId w:val="16"/>
  </w:num>
  <w:num w:numId="14">
    <w:abstractNumId w:val="10"/>
  </w:num>
  <w:num w:numId="15">
    <w:abstractNumId w:val="6"/>
  </w:num>
  <w:num w:numId="16">
    <w:abstractNumId w:val="4"/>
  </w:num>
  <w:num w:numId="17">
    <w:abstractNumId w:val="20"/>
  </w:num>
  <w:num w:numId="18">
    <w:abstractNumId w:val="19"/>
  </w:num>
  <w:num w:numId="19">
    <w:abstractNumId w:val="18"/>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0C2EE2"/>
    <w:rsid w:val="00124473"/>
    <w:rsid w:val="00142BEE"/>
    <w:rsid w:val="00232120"/>
    <w:rsid w:val="002629A1"/>
    <w:rsid w:val="002814FB"/>
    <w:rsid w:val="003D7D82"/>
    <w:rsid w:val="0040034C"/>
    <w:rsid w:val="00421F25"/>
    <w:rsid w:val="00434488"/>
    <w:rsid w:val="004D50D9"/>
    <w:rsid w:val="00534D2C"/>
    <w:rsid w:val="007A7DDA"/>
    <w:rsid w:val="00815DCE"/>
    <w:rsid w:val="008C6267"/>
    <w:rsid w:val="00903ABF"/>
    <w:rsid w:val="009A5936"/>
    <w:rsid w:val="009B6741"/>
    <w:rsid w:val="00A24FFA"/>
    <w:rsid w:val="00AC57E7"/>
    <w:rsid w:val="00AF3915"/>
    <w:rsid w:val="00BF33FE"/>
    <w:rsid w:val="00D84058"/>
    <w:rsid w:val="00D85F0E"/>
    <w:rsid w:val="00F25B3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2315A284"/>
  <w15:chartTrackingRefBased/>
  <w15:docId w15:val="{A990B406-65A8-43A0-A568-2F7F541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mailto:Rortiz@dhhs.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hyperlink" Target="https://goo.gl/forms/eS6q5ZxmJhsMIOi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3</cp:revision>
  <cp:lastPrinted>2022-05-21T22:30:00Z</cp:lastPrinted>
  <dcterms:created xsi:type="dcterms:W3CDTF">2022-08-09T21:22:00Z</dcterms:created>
  <dcterms:modified xsi:type="dcterms:W3CDTF">2022-08-25T15:58:00Z</dcterms:modified>
</cp:coreProperties>
</file>